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A2" w:rsidRDefault="00C81B45">
      <w:pPr>
        <w:spacing w:before="77"/>
        <w:jc w:val="center"/>
        <w:rPr>
          <w:b/>
          <w:sz w:val="24"/>
        </w:rPr>
      </w:pPr>
      <w:r>
        <w:rPr>
          <w:b/>
          <w:spacing w:val="-4"/>
          <w:sz w:val="24"/>
        </w:rPr>
        <w:t xml:space="preserve">DEPARTMENT OF </w:t>
      </w:r>
      <w:r>
        <w:rPr>
          <w:b/>
          <w:sz w:val="24"/>
        </w:rPr>
        <w:t xml:space="preserve">BASIC </w:t>
      </w:r>
      <w:r>
        <w:rPr>
          <w:b/>
          <w:spacing w:val="-2"/>
          <w:sz w:val="24"/>
        </w:rPr>
        <w:t>ISLAMIC SCIENCES</w:t>
      </w:r>
    </w:p>
    <w:p w:rsidR="00BB7FA2" w:rsidRDefault="00C81B45">
      <w:pPr>
        <w:spacing w:before="41"/>
        <w:jc w:val="center"/>
        <w:rPr>
          <w:b/>
          <w:sz w:val="24"/>
        </w:rPr>
      </w:pPr>
      <w:r>
        <w:rPr>
          <w:b/>
          <w:spacing w:val="-6"/>
          <w:sz w:val="24"/>
        </w:rPr>
        <w:t xml:space="preserve">SECOND </w:t>
      </w:r>
      <w:r>
        <w:rPr>
          <w:b/>
          <w:spacing w:val="-3"/>
          <w:sz w:val="24"/>
        </w:rPr>
        <w:t xml:space="preserve">EDUCATION </w:t>
      </w:r>
      <w:r>
        <w:rPr>
          <w:b/>
          <w:spacing w:val="-4"/>
          <w:sz w:val="24"/>
        </w:rPr>
        <w:t xml:space="preserve">NON-THESIS </w:t>
      </w:r>
      <w:r>
        <w:rPr>
          <w:b/>
          <w:sz w:val="24"/>
        </w:rPr>
        <w:t>MASTER'</w:t>
      </w:r>
      <w:r>
        <w:rPr>
          <w:b/>
          <w:spacing w:val="-4"/>
          <w:sz w:val="24"/>
        </w:rPr>
        <w:t xml:space="preserve">S </w:t>
      </w:r>
      <w:r>
        <w:rPr>
          <w:b/>
          <w:spacing w:val="-2"/>
          <w:sz w:val="24"/>
        </w:rPr>
        <w:t>PROGRAMME</w:t>
      </w:r>
    </w:p>
    <w:p w:rsidR="00BB7FA2" w:rsidRDefault="00C81B45">
      <w:pPr>
        <w:spacing w:before="41"/>
        <w:jc w:val="center"/>
        <w:rPr>
          <w:b/>
          <w:sz w:val="24"/>
        </w:rPr>
      </w:pPr>
      <w:r>
        <w:rPr>
          <w:b/>
          <w:sz w:val="24"/>
        </w:rPr>
        <w:t xml:space="preserve">COURSE </w:t>
      </w:r>
      <w:r>
        <w:rPr>
          <w:b/>
          <w:spacing w:val="-2"/>
          <w:sz w:val="24"/>
        </w:rPr>
        <w:t>CONTENT</w:t>
      </w:r>
    </w:p>
    <w:p w:rsidR="002C4FC1" w:rsidRDefault="002C4FC1">
      <w:pPr>
        <w:pStyle w:val="GvdeMetni"/>
        <w:spacing w:before="46"/>
        <w:rPr>
          <w:b/>
        </w:rPr>
      </w:pPr>
    </w:p>
    <w:p w:rsidR="002C4FC1" w:rsidRDefault="002C4FC1">
      <w:pPr>
        <w:pStyle w:val="GvdeMetni"/>
      </w:pPr>
    </w:p>
    <w:p w:rsidR="00BB7FA2" w:rsidRDefault="00C81B45">
      <w:pPr>
        <w:pStyle w:val="Balk1"/>
      </w:pPr>
      <w:r>
        <w:t>TIB501</w:t>
      </w:r>
      <w:r w:rsidRPr="00856782">
        <w:t xml:space="preserve"> Scientific </w:t>
      </w:r>
      <w:r>
        <w:t>Research Techniques and Research-Publication Ethics (Compulsory</w:t>
      </w:r>
      <w:r>
        <w:rPr>
          <w:spacing w:val="-1"/>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The research process (problem determination, research topic and hypothesis formulation, data collection, analysis and interpretation), scientific research methods to evaluate and make the literature review and report writing required to conduct research. T</w:t>
      </w:r>
      <w:r>
        <w:t>o acquire the necessary knowledge for data evaluation and report writing.</w:t>
      </w:r>
    </w:p>
    <w:p w:rsidR="002C4FC1" w:rsidRDefault="002C4FC1">
      <w:pPr>
        <w:pStyle w:val="GvdeMetni"/>
      </w:pPr>
    </w:p>
    <w:p w:rsidR="002C4FC1" w:rsidRDefault="002C4FC1">
      <w:pPr>
        <w:pStyle w:val="GvdeMetni"/>
      </w:pPr>
    </w:p>
    <w:p w:rsidR="00BB7FA2" w:rsidRDefault="00C81B45">
      <w:pPr>
        <w:pStyle w:val="Balk1"/>
      </w:pPr>
      <w:r w:rsidRPr="00856782">
        <w:t xml:space="preserve">TIB503Grammar </w:t>
      </w:r>
      <w:r>
        <w:t>Analyses (Sarf</w:t>
      </w:r>
      <w:r>
        <w:rPr>
          <w:spacing w:val="-1"/>
        </w:rPr>
        <w:t xml:space="preserve">) </w:t>
      </w:r>
      <w:r>
        <w:t xml:space="preserve">(Elective) (3 0 </w:t>
      </w:r>
      <w:r>
        <w:rPr>
          <w:spacing w:val="-4"/>
        </w:rPr>
        <w:t>3-6)</w:t>
      </w:r>
    </w:p>
    <w:p w:rsidR="002C4FC1" w:rsidRDefault="002C4FC1">
      <w:pPr>
        <w:pStyle w:val="GvdeMetni"/>
        <w:rPr>
          <w:b/>
        </w:rPr>
      </w:pPr>
    </w:p>
    <w:p w:rsidR="00BB7FA2" w:rsidRDefault="00C81B45">
      <w:pPr>
        <w:pStyle w:val="GvdeMetni"/>
        <w:spacing w:before="0"/>
        <w:jc w:val="both"/>
      </w:pPr>
      <w:r>
        <w:t xml:space="preserve">The science of Sarf, which is one of the two important parts of Arabic grammar, </w:t>
      </w:r>
      <w:r>
        <w:rPr>
          <w:spacing w:val="-2"/>
        </w:rPr>
        <w:t xml:space="preserve">will be </w:t>
      </w:r>
      <w:r>
        <w:t>discussed from the practical aspect</w:t>
      </w:r>
    </w:p>
    <w:p w:rsidR="00BB7FA2" w:rsidRDefault="00C81B45">
      <w:pPr>
        <w:pStyle w:val="GvdeMetni"/>
        <w:spacing w:before="0"/>
        <w:jc w:val="both"/>
      </w:pPr>
      <w:r>
        <w:rPr>
          <w:spacing w:val="-2"/>
        </w:rPr>
        <w:t>aims</w:t>
      </w:r>
      <w:r>
        <w:rPr>
          <w:spacing w:val="-2"/>
        </w:rPr>
        <w:t xml:space="preserve"> at </w:t>
      </w:r>
      <w:r>
        <w:t>the consideration of the contents</w:t>
      </w:r>
      <w:r>
        <w:rPr>
          <w:spacing w:val="-2"/>
        </w:rPr>
        <w:t>.</w:t>
      </w:r>
    </w:p>
    <w:p w:rsidR="002C4FC1" w:rsidRDefault="002C4FC1">
      <w:pPr>
        <w:pStyle w:val="GvdeMetni"/>
      </w:pPr>
    </w:p>
    <w:p w:rsidR="002C4FC1" w:rsidRDefault="002C4FC1">
      <w:pPr>
        <w:pStyle w:val="GvdeMetni"/>
      </w:pPr>
    </w:p>
    <w:p w:rsidR="00BB7FA2" w:rsidRDefault="00C81B45">
      <w:pPr>
        <w:pStyle w:val="Balk1"/>
      </w:pPr>
      <w:r w:rsidRPr="00856782">
        <w:t xml:space="preserve">TIB505 </w:t>
      </w:r>
      <w:r>
        <w:t>Classical Arabic Text Readings (Elective</w:t>
      </w:r>
      <w:r>
        <w:rPr>
          <w:spacing w:val="-2"/>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The students read from the encyclopaedic works written in the 16th century, which have important contents about the Arabic language and also include variou</w:t>
      </w:r>
      <w:r>
        <w:t>s disciplines, and translations of letters and meanings are made. Grammatical analyses and the rules of Nahw-Sarf are discussed in outlines.</w:t>
      </w:r>
    </w:p>
    <w:p w:rsidR="002C4FC1" w:rsidRDefault="002C4FC1">
      <w:pPr>
        <w:pStyle w:val="GvdeMetni"/>
      </w:pPr>
    </w:p>
    <w:p w:rsidR="00BB7FA2" w:rsidRDefault="00C81B45">
      <w:pPr>
        <w:pStyle w:val="Balk1"/>
        <w:rPr>
          <w:spacing w:val="-4"/>
        </w:rPr>
      </w:pPr>
      <w:r w:rsidRPr="00856782">
        <w:t xml:space="preserve">TIB507 </w:t>
      </w:r>
      <w:r>
        <w:t xml:space="preserve">Islamic Criminal Law (Elective) </w:t>
      </w:r>
      <w:r>
        <w:rPr>
          <w:spacing w:val="-1"/>
        </w:rPr>
        <w:t xml:space="preserve">(3 </w:t>
      </w:r>
      <w:r>
        <w:t xml:space="preserve">0 </w:t>
      </w:r>
      <w:r>
        <w:rPr>
          <w:spacing w:val="-4"/>
        </w:rPr>
        <w:t>3-6)</w:t>
      </w:r>
    </w:p>
    <w:p w:rsidR="00F97019" w:rsidRDefault="00F97019" w:rsidP="00F97019">
      <w:pPr>
        <w:pStyle w:val="Balk1"/>
        <w:rPr>
          <w:spacing w:val="-4"/>
        </w:rPr>
      </w:pPr>
    </w:p>
    <w:p w:rsidR="00BB7FA2" w:rsidRDefault="00C81B45">
      <w:pPr>
        <w:pStyle w:val="GvdeMetni"/>
        <w:spacing w:before="0"/>
        <w:jc w:val="both"/>
      </w:pPr>
      <w:r>
        <w:t>The course aims to explain the doctrinal structure of Islamic cr</w:t>
      </w:r>
      <w:r>
        <w:t>iminal law, which deals with the criminal law acts of people in terms of law, and to comprehend what are the legal responsibilities and sanctions arising from the human-criminal relationship. In this context, it is tried to comprehend what are the acts and</w:t>
      </w:r>
      <w:r>
        <w:t xml:space="preserve"> the means of proving the offence within the scope of had penalties</w:t>
      </w:r>
      <w:r w:rsidRPr="00F97019">
        <w:t>,</w:t>
      </w:r>
      <w:r>
        <w:t xml:space="preserve"> retribution and tazir penalties, which constitute the framework of Islamic criminal law, and under which conditions these penalties can be applied and under which conditions they cannot b</w:t>
      </w:r>
      <w:r>
        <w:t>e applied.</w:t>
      </w:r>
    </w:p>
    <w:p w:rsidR="002C4FC1" w:rsidRDefault="002C4FC1" w:rsidP="00F97019">
      <w:pPr>
        <w:pStyle w:val="GvdeMetni"/>
        <w:spacing w:before="0"/>
        <w:jc w:val="both"/>
      </w:pPr>
    </w:p>
    <w:p w:rsidR="00BB7FA2" w:rsidRDefault="00C81B45">
      <w:pPr>
        <w:pStyle w:val="Balk1"/>
      </w:pPr>
      <w:r w:rsidRPr="00856782">
        <w:t xml:space="preserve">TIB509 </w:t>
      </w:r>
      <w:r>
        <w:t>Teklîfî Hüküm Terimleri; Doğuş Ve Gelişim Süreci (Elective</w:t>
      </w:r>
      <w:r>
        <w:rPr>
          <w:spacing w:val="-1"/>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In the related course, it is aimed to reveal the original theory and concept pattern of fiqh by analysing the terms of taklīfī rulings</w:t>
      </w:r>
      <w:r>
        <w:t>, which are one of the basic subjects that constitute the main skeleton of fiqh and usul al-fiqh, and the terminology formed around these terms in terms of legal technique and dogmatics. In this framework, the emergence and development process of the termi</w:t>
      </w:r>
      <w:r>
        <w:t>nology, which is the product of mental efforts spread over a</w:t>
      </w:r>
      <w:r>
        <w:rPr>
          <w:spacing w:val="-10"/>
        </w:rPr>
        <w:t xml:space="preserve"> wide </w:t>
      </w:r>
      <w:r>
        <w:t>period of time, such as obligatory/wajib, mendub/sunnah</w:t>
      </w:r>
      <w:r>
        <w:rPr>
          <w:spacing w:val="-9"/>
        </w:rPr>
        <w:t xml:space="preserve">, </w:t>
      </w:r>
      <w:r>
        <w:t>haram</w:t>
      </w:r>
      <w:r>
        <w:rPr>
          <w:spacing w:val="-9"/>
        </w:rPr>
        <w:t xml:space="preserve">, </w:t>
      </w:r>
      <w:r>
        <w:t xml:space="preserve">makruh and mubah, which are called taklīfī rulings in Islamic jurisprudence, will be revealed and a contribution will be made </w:t>
      </w:r>
      <w:r>
        <w:t>to the understanding of fiqh and usul.</w:t>
      </w:r>
    </w:p>
    <w:p w:rsidR="002C4FC1" w:rsidRDefault="002C4FC1">
      <w:pPr>
        <w:pStyle w:val="GvdeMetni"/>
      </w:pPr>
    </w:p>
    <w:p w:rsidR="002C4FC1" w:rsidRDefault="002C4FC1">
      <w:pPr>
        <w:pStyle w:val="GvdeMetni"/>
      </w:pPr>
    </w:p>
    <w:p w:rsidR="00BB7FA2" w:rsidRDefault="00C81B45">
      <w:pPr>
        <w:pStyle w:val="Balk1"/>
      </w:pPr>
      <w:r>
        <w:lastRenderedPageBreak/>
        <w:t xml:space="preserve">TIB511 Development of the Method of </w:t>
      </w:r>
      <w:r w:rsidRPr="00856782">
        <w:t xml:space="preserve">Hadith </w:t>
      </w:r>
      <w:r>
        <w:t xml:space="preserve">and Classical </w:t>
      </w:r>
      <w:r>
        <w:rPr>
          <w:spacing w:val="-1"/>
        </w:rPr>
        <w:t xml:space="preserve">Sources </w:t>
      </w:r>
      <w:r>
        <w:t>(Elective</w:t>
      </w:r>
      <w:r>
        <w:rPr>
          <w:spacing w:val="-2"/>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The main objectives of this course are to examine the concepts of hadith methodology and the literature dealing with these conce</w:t>
      </w:r>
      <w:r>
        <w:t>pts, to provide students with the basic subjects of hadith science, its sources and the method of evaluating hadiths.</w:t>
      </w:r>
    </w:p>
    <w:p w:rsidR="002C4FC1" w:rsidRDefault="002C4FC1">
      <w:pPr>
        <w:pStyle w:val="GvdeMetni"/>
      </w:pPr>
    </w:p>
    <w:p w:rsidR="00F97019" w:rsidRDefault="00F97019">
      <w:pPr>
        <w:pStyle w:val="GvdeMetni"/>
      </w:pPr>
    </w:p>
    <w:p w:rsidR="00F97019" w:rsidRDefault="00F97019">
      <w:pPr>
        <w:pStyle w:val="GvdeMetni"/>
      </w:pPr>
    </w:p>
    <w:p w:rsidR="00F97019" w:rsidRDefault="00F97019">
      <w:pPr>
        <w:pStyle w:val="GvdeMetni"/>
      </w:pPr>
    </w:p>
    <w:p w:rsidR="00BB7FA2" w:rsidRDefault="00C81B45">
      <w:pPr>
        <w:pStyle w:val="Balk1"/>
        <w:rPr>
          <w:spacing w:val="-4"/>
        </w:rPr>
      </w:pPr>
      <w:r w:rsidRPr="001D7FAB">
        <w:t xml:space="preserve">TIB513 </w:t>
      </w:r>
      <w:r>
        <w:t xml:space="preserve">Disagreements in Hadiths and Solutions (Elective) </w:t>
      </w:r>
      <w:r>
        <w:rPr>
          <w:spacing w:val="-1"/>
        </w:rPr>
        <w:t xml:space="preserve">(3 </w:t>
      </w:r>
      <w:r>
        <w:t xml:space="preserve">0 </w:t>
      </w:r>
      <w:r>
        <w:rPr>
          <w:spacing w:val="-4"/>
        </w:rPr>
        <w:t>3-6)</w:t>
      </w:r>
    </w:p>
    <w:p w:rsidR="002C4FC1" w:rsidRDefault="002C4FC1">
      <w:pPr>
        <w:pStyle w:val="GvdeMetni"/>
        <w:rPr>
          <w:b/>
        </w:rPr>
      </w:pPr>
    </w:p>
    <w:p w:rsidR="00BB7FA2" w:rsidRDefault="00C81B45">
      <w:pPr>
        <w:pStyle w:val="GvdeMetni"/>
        <w:spacing w:before="0"/>
        <w:jc w:val="both"/>
      </w:pPr>
      <w:r>
        <w:t>Ihtilaf al-hadith is a branch of science that analyses and tries t</w:t>
      </w:r>
      <w:r>
        <w:t>o reconcile the acceptable hadiths that seem to be contradictory to each other. The main solutions used to resolve the conflicts between hadiths such as nesh, preference, cem' and tawakkuf will be introduced.</w:t>
      </w:r>
    </w:p>
    <w:p w:rsidR="002C4FC1" w:rsidRDefault="002C4FC1">
      <w:pPr>
        <w:pStyle w:val="GvdeMetni"/>
      </w:pPr>
    </w:p>
    <w:p w:rsidR="00BB7FA2" w:rsidRDefault="00C81B45">
      <w:pPr>
        <w:pStyle w:val="Balk1"/>
      </w:pPr>
      <w:r w:rsidRPr="001D7FAB">
        <w:t xml:space="preserve">TIB515 </w:t>
      </w:r>
      <w:r>
        <w:rPr>
          <w:spacing w:val="-1"/>
        </w:rPr>
        <w:t xml:space="preserve">Introduction </w:t>
      </w:r>
      <w:r>
        <w:t xml:space="preserve">to </w:t>
      </w:r>
      <w:r w:rsidRPr="001D7FAB">
        <w:t xml:space="preserve">Theological </w:t>
      </w:r>
      <w:r>
        <w:t>Terminology</w:t>
      </w:r>
      <w:r>
        <w:t xml:space="preserve"> (Elective</w:t>
      </w:r>
      <w:r>
        <w:rPr>
          <w:spacing w:val="-1"/>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rPr>
          <w:spacing w:val="-2"/>
        </w:rPr>
        <w:t xml:space="preserve">By showing </w:t>
      </w:r>
      <w:r>
        <w:t>which elements and perspectives constitute the terminology of Islamic theology,</w:t>
      </w:r>
    </w:p>
    <w:p w:rsidR="00BB7FA2" w:rsidRDefault="00C81B45">
      <w:pPr>
        <w:pStyle w:val="GvdeMetni"/>
        <w:spacing w:before="0"/>
        <w:jc w:val="both"/>
      </w:pPr>
      <w:r>
        <w:rPr>
          <w:spacing w:val="-2"/>
        </w:rPr>
        <w:t xml:space="preserve">to give </w:t>
      </w:r>
      <w:r>
        <w:t>the student a comparative approach to this subject</w:t>
      </w:r>
      <w:r>
        <w:rPr>
          <w:spacing w:val="-2"/>
        </w:rPr>
        <w:t>.</w:t>
      </w:r>
    </w:p>
    <w:p w:rsidR="00BB7FA2" w:rsidRDefault="00C81B45">
      <w:pPr>
        <w:pStyle w:val="GvdeMetni"/>
        <w:spacing w:before="0"/>
        <w:jc w:val="both"/>
      </w:pPr>
      <w:r>
        <w:t>Textbook, References and/or Other Sources: Tehânevî, Keşşâfu Istilâhâti'l-Fünûn Eb</w:t>
      </w:r>
      <w:r>
        <w:t>ü'l- Bekâ, Külliyât Cürcânî, Tarifât Âmidî, Mübîn Ibn Fûrek, Kitâbü'l-Hudûd İlyas Çelebi-Bekir Topaloğlu, Dictionary of Theological Terms Türkiye Diyanet Vakfı Islamic Encyclopedia (related articles).</w:t>
      </w:r>
    </w:p>
    <w:p w:rsidR="002C4FC1" w:rsidRDefault="002C4FC1">
      <w:pPr>
        <w:pStyle w:val="GvdeMetni"/>
      </w:pPr>
    </w:p>
    <w:p w:rsidR="00BB7FA2" w:rsidRDefault="00C81B45">
      <w:pPr>
        <w:pStyle w:val="Balk1"/>
      </w:pPr>
      <w:r w:rsidRPr="001D7FAB">
        <w:t xml:space="preserve">TIB517 </w:t>
      </w:r>
      <w:r>
        <w:t>Theological Schools (Elective</w:t>
      </w:r>
      <w:r>
        <w:rPr>
          <w:spacing w:val="-1"/>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The s</w:t>
      </w:r>
      <w:r>
        <w:t xml:space="preserve">tages of the science of theology from the beginning to the present day; schools such as Kharijism, Qadariyya, Mutazila, Jabriyya, Murjie, Mushabbihe, Shi'a, Salafism, Ashari, Māturīdism will be discussed within the framework of their development processes </w:t>
      </w:r>
      <w:r>
        <w:t>and basic principles.</w:t>
      </w:r>
    </w:p>
    <w:p w:rsidR="002C4FC1" w:rsidRDefault="002C4FC1">
      <w:pPr>
        <w:pStyle w:val="GvdeMetni"/>
      </w:pPr>
    </w:p>
    <w:p w:rsidR="00BB7FA2" w:rsidRDefault="00C81B45">
      <w:pPr>
        <w:pStyle w:val="GvdeMetni"/>
        <w:spacing w:before="0"/>
        <w:jc w:val="both"/>
      </w:pPr>
      <w:r>
        <w:t>Textbook, References and/or Other Sources: Abu Hanifa, al-Fiqhu al-Akbar. Nesefi, Aqaid. Ashari, al-Ibāna. Māturīdī, Kitāb al-Tawhid. al-Juwaynī, al-Irshād. al-Pazdawī, Usūl al-Dīn. Nafsī, Tabsırat al-Adille and Bahr al-Kalām. Qāḍī '</w:t>
      </w:r>
      <w:r>
        <w:t>Abd al-Jabbar, Sharh al-Usūli al-Hamse.</w:t>
      </w:r>
    </w:p>
    <w:p w:rsidR="002C4FC1" w:rsidRDefault="002C4FC1">
      <w:pPr>
        <w:pStyle w:val="GvdeMetni"/>
      </w:pPr>
    </w:p>
    <w:p w:rsidR="00BB7FA2" w:rsidRDefault="00C81B45">
      <w:pPr>
        <w:pStyle w:val="Balk1"/>
        <w:spacing w:before="45"/>
      </w:pPr>
      <w:r w:rsidRPr="001D7FAB">
        <w:t xml:space="preserve">TIB519 </w:t>
      </w:r>
      <w:r>
        <w:t>Nuzûlü of the Qur'an and Textualisation Process (Elective</w:t>
      </w:r>
      <w:r>
        <w:rPr>
          <w:spacing w:val="-2"/>
        </w:rPr>
        <w:t xml:space="preserve">) </w:t>
      </w:r>
      <w:r>
        <w:t xml:space="preserve">(3 0 </w:t>
      </w:r>
      <w:r>
        <w:rPr>
          <w:spacing w:val="-4"/>
        </w:rPr>
        <w:t>3-6)</w:t>
      </w:r>
    </w:p>
    <w:p w:rsidR="002C4FC1" w:rsidRDefault="002C4FC1">
      <w:pPr>
        <w:pStyle w:val="GvdeMetni"/>
        <w:spacing w:before="19"/>
        <w:rPr>
          <w:b/>
        </w:rPr>
      </w:pPr>
    </w:p>
    <w:p w:rsidR="00BB7FA2" w:rsidRDefault="00C81B45">
      <w:pPr>
        <w:pStyle w:val="GvdeMetni"/>
        <w:spacing w:before="0"/>
        <w:jc w:val="both"/>
      </w:pPr>
      <w:r>
        <w:t xml:space="preserve">In the history of tafsir, the revelation and textualisation process of the Qur'an </w:t>
      </w:r>
      <w:r>
        <w:t xml:space="preserve">is one of the most studied areas. In this course, the revelation and textualisation process of the verses and the events that occurred during this period will be discussed in detail. Because without knowing these issues of the nuzul period, it will not be </w:t>
      </w:r>
      <w:r>
        <w:t>possible to have sufficient knowledge about the Qur'an.</w:t>
      </w:r>
    </w:p>
    <w:p w:rsidR="002C4FC1" w:rsidRDefault="002C4FC1">
      <w:pPr>
        <w:pStyle w:val="GvdeMetni"/>
      </w:pPr>
    </w:p>
    <w:p w:rsidR="00BB7FA2" w:rsidRDefault="00C81B45">
      <w:pPr>
        <w:pStyle w:val="Balk1"/>
      </w:pPr>
      <w:r w:rsidRPr="001D7FAB">
        <w:t xml:space="preserve">TIB521 </w:t>
      </w:r>
      <w:r>
        <w:t>Main Topics of the Qur'an (Elective</w:t>
      </w:r>
      <w:r>
        <w:rPr>
          <w:spacing w:val="-2"/>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It is possible to summarise the main topics in the Qur'an under the headings of divinity, prophethood, humanity, the universe, worship, ethics, social order and the hereafter. When the sub-headings are added to these, the main philosophy of the Qur'an is r</w:t>
      </w:r>
      <w:r>
        <w:t>evealed. Thus, the main topics of the Qur'an and the issues that it mainly emphasises will be discussed.</w:t>
      </w:r>
    </w:p>
    <w:p w:rsidR="002C4FC1" w:rsidRDefault="002C4FC1">
      <w:pPr>
        <w:pStyle w:val="GvdeMetni"/>
      </w:pPr>
    </w:p>
    <w:p w:rsidR="00BB7FA2" w:rsidRDefault="00C81B45">
      <w:pPr>
        <w:pStyle w:val="Balk1"/>
      </w:pPr>
      <w:r w:rsidRPr="007A3A79">
        <w:lastRenderedPageBreak/>
        <w:t>TIB523 Sufi classics (Elective</w:t>
      </w:r>
      <w:r w:rsidRPr="007A3A79">
        <w:rPr>
          <w:spacing w:val="-1"/>
        </w:rPr>
        <w:t xml:space="preserve">) </w:t>
      </w:r>
      <w:r w:rsidRPr="007A3A79">
        <w:t xml:space="preserve">(3 0 </w:t>
      </w:r>
      <w:r w:rsidRPr="007A3A79">
        <w:rPr>
          <w:spacing w:val="-4"/>
        </w:rPr>
        <w:t>3-6)</w:t>
      </w:r>
    </w:p>
    <w:p w:rsidR="002C4FC1" w:rsidRPr="007A3A79" w:rsidRDefault="002C4FC1">
      <w:pPr>
        <w:pStyle w:val="GvdeMetni"/>
        <w:rPr>
          <w:b/>
        </w:rPr>
      </w:pPr>
    </w:p>
    <w:p w:rsidR="00BB7FA2" w:rsidRDefault="00C81B45">
      <w:pPr>
        <w:pStyle w:val="GvdeMetni"/>
        <w:spacing w:before="0"/>
        <w:jc w:val="both"/>
      </w:pPr>
      <w:r w:rsidRPr="007A3A79">
        <w:t>The process of Sufism over time is studied on the basis of the authors of the classical works, the period i</w:t>
      </w:r>
      <w:r w:rsidRPr="007A3A79">
        <w:t>n which they were written, their aims and contents. The main sources are: al-Luma, al-Riaye, Taarruf, Risalah of Qushayri and Tabakat.</w:t>
      </w:r>
    </w:p>
    <w:p w:rsidR="00A60006" w:rsidRDefault="00A60006" w:rsidP="00A60006">
      <w:pPr>
        <w:pStyle w:val="GvdeMetni"/>
        <w:spacing w:before="0"/>
        <w:jc w:val="both"/>
      </w:pPr>
    </w:p>
    <w:p w:rsidR="002C4FC1" w:rsidRDefault="002C4FC1">
      <w:pPr>
        <w:pStyle w:val="GvdeMetni"/>
      </w:pPr>
    </w:p>
    <w:p w:rsidR="00BB7FA2" w:rsidRDefault="00C81B45">
      <w:pPr>
        <w:pStyle w:val="Balk1"/>
      </w:pPr>
      <w:r w:rsidRPr="001D7FAB">
        <w:t xml:space="preserve">TIB525 The </w:t>
      </w:r>
      <w:r>
        <w:t>Formation of Sufi Concepts (Elective</w:t>
      </w:r>
      <w:r>
        <w:rPr>
          <w:spacing w:val="-2"/>
        </w:rPr>
        <w:t xml:space="preserve">) </w:t>
      </w:r>
      <w:r>
        <w:t xml:space="preserve">(3 0 </w:t>
      </w:r>
      <w:r>
        <w:rPr>
          <w:spacing w:val="-4"/>
        </w:rPr>
        <w:t>3-6)</w:t>
      </w:r>
    </w:p>
    <w:p w:rsidR="002C4FC1" w:rsidRDefault="002C4FC1">
      <w:pPr>
        <w:pStyle w:val="GvdeMetni"/>
        <w:rPr>
          <w:b/>
        </w:rPr>
      </w:pPr>
    </w:p>
    <w:p w:rsidR="00BB7FA2" w:rsidRDefault="00C81B45">
      <w:pPr>
        <w:pStyle w:val="GvdeMetni"/>
        <w:spacing w:before="0"/>
        <w:jc w:val="both"/>
      </w:pPr>
      <w:r>
        <w:t xml:space="preserve">Sufism is considered to be one of the sharia sciences that </w:t>
      </w:r>
      <w:r>
        <w:t>are accepted to have emerged later in Islam. Like every other science, Sufism has developed its own terminology in this process. Some of these are based on the Qur'an and Sunnah, and some of them are related to the experiences of Sufis on the way to becomi</w:t>
      </w:r>
      <w:r>
        <w:t>ng a perfect human being. This terminology and formation process will be covered in the course.</w:t>
      </w:r>
    </w:p>
    <w:p w:rsidR="002C4FC1" w:rsidRDefault="002C4FC1">
      <w:pPr>
        <w:pStyle w:val="GvdeMetni"/>
      </w:pPr>
    </w:p>
    <w:p w:rsidR="00BB7FA2" w:rsidRDefault="00C81B45">
      <w:pPr>
        <w:pStyle w:val="Balk1"/>
      </w:pPr>
      <w:r w:rsidRPr="001D7FAB">
        <w:t xml:space="preserve">TIB502 </w:t>
      </w:r>
      <w:r>
        <w:t>Grammatical Analyses (Nahiv</w:t>
      </w:r>
      <w:r>
        <w:rPr>
          <w:spacing w:val="-1"/>
        </w:rPr>
        <w:t xml:space="preserve">) </w:t>
      </w:r>
      <w:r>
        <w:t xml:space="preserve">(Elective) (3 0 </w:t>
      </w:r>
      <w:r>
        <w:rPr>
          <w:spacing w:val="-4"/>
        </w:rPr>
        <w:t>3-6)</w:t>
      </w:r>
    </w:p>
    <w:p w:rsidR="002C4FC1" w:rsidRDefault="002C4FC1">
      <w:pPr>
        <w:pStyle w:val="GvdeMetni"/>
        <w:rPr>
          <w:b/>
        </w:rPr>
      </w:pPr>
    </w:p>
    <w:p w:rsidR="00BB7FA2" w:rsidRDefault="00C81B45">
      <w:pPr>
        <w:pStyle w:val="GvdeMetni"/>
        <w:spacing w:before="0"/>
        <w:jc w:val="both"/>
      </w:pPr>
      <w:r>
        <w:t xml:space="preserve">The science of Nahiv, which is one of the two important parts of Arabic grammar, </w:t>
      </w:r>
      <w:r>
        <w:rPr>
          <w:spacing w:val="-2"/>
        </w:rPr>
        <w:t xml:space="preserve">will be </w:t>
      </w:r>
      <w:r>
        <w:t>discussed fr</w:t>
      </w:r>
      <w:r>
        <w:t>om the practical aspect</w:t>
      </w:r>
    </w:p>
    <w:p w:rsidR="00BB7FA2" w:rsidRDefault="00C81B45">
      <w:pPr>
        <w:pStyle w:val="GvdeMetni"/>
        <w:spacing w:before="0"/>
        <w:jc w:val="both"/>
      </w:pPr>
      <w:r>
        <w:rPr>
          <w:spacing w:val="-2"/>
        </w:rPr>
        <w:t xml:space="preserve">aims at </w:t>
      </w:r>
      <w:r>
        <w:t>the consideration of the contents</w:t>
      </w:r>
      <w:r>
        <w:rPr>
          <w:spacing w:val="-2"/>
        </w:rPr>
        <w:t>.</w:t>
      </w:r>
    </w:p>
    <w:p w:rsidR="002C4FC1" w:rsidRDefault="002C4FC1">
      <w:pPr>
        <w:pStyle w:val="GvdeMetni"/>
        <w:rPr>
          <w:b/>
        </w:rPr>
      </w:pPr>
    </w:p>
    <w:p w:rsidR="00BB7FA2" w:rsidRDefault="00C81B45">
      <w:pPr>
        <w:pStyle w:val="Balk1"/>
      </w:pPr>
      <w:r w:rsidRPr="001D7FAB">
        <w:t xml:space="preserve">TIB504 </w:t>
      </w:r>
      <w:r>
        <w:t>Modern Arabic Text Readings (Elective</w:t>
      </w:r>
      <w:r>
        <w:rPr>
          <w:spacing w:val="-2"/>
        </w:rPr>
        <w:t xml:space="preserve">) </w:t>
      </w:r>
      <w:r>
        <w:t xml:space="preserve">(3 0 </w:t>
      </w:r>
      <w:r>
        <w:rPr>
          <w:spacing w:val="-4"/>
        </w:rPr>
        <w:t>3-6)</w:t>
      </w:r>
    </w:p>
    <w:p w:rsidR="002C4FC1" w:rsidRDefault="002C4FC1">
      <w:pPr>
        <w:pStyle w:val="GvdeMetni"/>
        <w:rPr>
          <w:b/>
        </w:rPr>
      </w:pPr>
    </w:p>
    <w:p w:rsidR="00BB7FA2" w:rsidRDefault="00C81B45">
      <w:pPr>
        <w:pStyle w:val="GvdeMetni"/>
        <w:tabs>
          <w:tab w:val="left" w:pos="8502"/>
        </w:tabs>
        <w:spacing w:before="0"/>
      </w:pPr>
      <w:r>
        <w:t xml:space="preserve">Reading, word meanings, translation studies and grammatical </w:t>
      </w:r>
      <w:r>
        <w:rPr>
          <w:spacing w:val="-2"/>
        </w:rPr>
        <w:t xml:space="preserve">analyses </w:t>
      </w:r>
      <w:r>
        <w:t>by making selections from Arabic texts related to the fields o</w:t>
      </w:r>
      <w:r>
        <w:t>f media, literature, culture, health, law, etc., which are among the varieties of Modern Arabic Language</w:t>
      </w:r>
      <w:r>
        <w:tab/>
      </w:r>
      <w:r>
        <w:rPr>
          <w:spacing w:val="-2"/>
        </w:rPr>
        <w:t>It is done.</w:t>
      </w:r>
    </w:p>
    <w:p w:rsidR="00CC753F" w:rsidRDefault="00CC753F" w:rsidP="00CC753F">
      <w:pPr>
        <w:pStyle w:val="GvdeMetni"/>
        <w:tabs>
          <w:tab w:val="left" w:pos="8502"/>
        </w:tabs>
        <w:spacing w:before="0"/>
        <w:jc w:val="both"/>
      </w:pPr>
    </w:p>
    <w:p w:rsidR="00BB7FA2" w:rsidRDefault="00C81B45">
      <w:pPr>
        <w:pStyle w:val="Balk1"/>
      </w:pPr>
      <w:r w:rsidRPr="001D7FAB">
        <w:t xml:space="preserve">TIB506 </w:t>
      </w:r>
      <w:r>
        <w:t xml:space="preserve">Rical and Cerh - Ta'dîl Science in Hadith (Elective) (3 0 </w:t>
      </w:r>
      <w:r>
        <w:rPr>
          <w:spacing w:val="-4"/>
        </w:rPr>
        <w:t>3-6)</w:t>
      </w:r>
    </w:p>
    <w:p w:rsidR="001D7FAB" w:rsidRDefault="001D7FAB" w:rsidP="001D7FAB">
      <w:pPr>
        <w:pStyle w:val="GvdeMetni"/>
        <w:rPr>
          <w:b/>
        </w:rPr>
      </w:pPr>
    </w:p>
    <w:p w:rsidR="00BB7FA2" w:rsidRDefault="00C81B45">
      <w:pPr>
        <w:pStyle w:val="GvdeMetni"/>
        <w:spacing w:before="0"/>
        <w:jc w:val="both"/>
      </w:pPr>
      <w:r>
        <w:t xml:space="preserve">The aim of the science of hadith is to determine the source of </w:t>
      </w:r>
      <w:r>
        <w:t>the narrations and to preserve and transmit the narrations in accordance with the original. Examining the technical status of the ravs who narrate the hadiths is a basic element of the science of hadith. In order to realise this aim, it is aimed to provide</w:t>
      </w:r>
      <w:r>
        <w:t xml:space="preserve"> students with the method of Rical and Cerh- Tadil in Hadith.</w:t>
      </w:r>
    </w:p>
    <w:p w:rsidR="001D7FAB" w:rsidRDefault="001D7FAB" w:rsidP="001D7FAB">
      <w:pPr>
        <w:pStyle w:val="GvdeMetni"/>
      </w:pPr>
    </w:p>
    <w:p w:rsidR="00BB7FA2" w:rsidRDefault="00C81B45">
      <w:pPr>
        <w:pStyle w:val="Balk1"/>
      </w:pPr>
      <w:r w:rsidRPr="001D7FAB">
        <w:t xml:space="preserve">TIB508 </w:t>
      </w:r>
      <w:r>
        <w:t>Classical Theological Texts (Elective</w:t>
      </w:r>
      <w:r>
        <w:rPr>
          <w:spacing w:val="-1"/>
        </w:rPr>
        <w:t xml:space="preserve">) </w:t>
      </w:r>
      <w:r>
        <w:t xml:space="preserve">(3 0 </w:t>
      </w:r>
      <w:r>
        <w:rPr>
          <w:spacing w:val="-4"/>
        </w:rPr>
        <w:t>3-6)</w:t>
      </w:r>
    </w:p>
    <w:p w:rsidR="00F97019" w:rsidRDefault="00F97019" w:rsidP="00F97019">
      <w:pPr>
        <w:pStyle w:val="GvdeMetni"/>
        <w:rPr>
          <w:b/>
        </w:rPr>
      </w:pPr>
    </w:p>
    <w:p w:rsidR="00BB7FA2" w:rsidRDefault="00C81B45">
      <w:pPr>
        <w:pStyle w:val="GvdeMetni"/>
        <w:spacing w:before="0"/>
        <w:jc w:val="both"/>
      </w:pPr>
      <w:r>
        <w:t xml:space="preserve">Classical aqīdah such as Abū Hanifa's al-Fiqh al-Akbar, Tahāwī's Aqīdah al-Tahāwiyya, Māturīdiyya's Aqīdah Treatise, Samarqandi's Sevād </w:t>
      </w:r>
      <w:r>
        <w:t>al-A'zam, Nasaafī's Aqā'id, Ushi's 'Amāli, and Ash'arī's al-Ibāna, Māturīdī's Kitāb al-Tawhid, Selected chapters from classical theological texts such as al-Juwaynī's al-Irshād, al-Pazdawī's Usūl al-Dīn</w:t>
      </w:r>
      <w:r>
        <w:rPr>
          <w:spacing w:val="-7"/>
        </w:rPr>
        <w:t xml:space="preserve">, </w:t>
      </w:r>
      <w:r>
        <w:t>al-Nasafī's Tabsirat al-Adillah and Bahr al-Kalām</w:t>
      </w:r>
      <w:r>
        <w:rPr>
          <w:spacing w:val="-7"/>
        </w:rPr>
        <w:t xml:space="preserve">, </w:t>
      </w:r>
      <w:r>
        <w:t>al-Sābūnī's al-Bidāyah will be read and certain problems will be evaluated.</w:t>
      </w:r>
    </w:p>
    <w:p w:rsidR="00F97019" w:rsidRDefault="00F97019" w:rsidP="001D7FAB">
      <w:pPr>
        <w:pStyle w:val="GvdeMetni"/>
        <w:spacing w:before="0"/>
        <w:jc w:val="both"/>
      </w:pPr>
    </w:p>
    <w:p w:rsidR="00BB7FA2" w:rsidRDefault="00C81B45">
      <w:pPr>
        <w:pStyle w:val="Balk1"/>
      </w:pPr>
      <w:r w:rsidRPr="00F97019">
        <w:t xml:space="preserve">TIB510 </w:t>
      </w:r>
      <w:r>
        <w:t>Philosophical Criticism of Kalām (Elective</w:t>
      </w:r>
      <w:r>
        <w:rPr>
          <w:spacing w:val="-2"/>
        </w:rPr>
        <w:t xml:space="preserve">) </w:t>
      </w:r>
      <w:r>
        <w:t xml:space="preserve">(3 0 </w:t>
      </w:r>
      <w:r>
        <w:rPr>
          <w:spacing w:val="-4"/>
        </w:rPr>
        <w:t>3-6)</w:t>
      </w:r>
    </w:p>
    <w:p w:rsidR="00F97019" w:rsidRDefault="00F97019" w:rsidP="00F97019">
      <w:pPr>
        <w:pStyle w:val="GvdeMetni"/>
        <w:rPr>
          <w:b/>
        </w:rPr>
      </w:pPr>
    </w:p>
    <w:p w:rsidR="00BB7FA2" w:rsidRDefault="00C81B45">
      <w:pPr>
        <w:pStyle w:val="GvdeMetni"/>
        <w:spacing w:before="0"/>
        <w:jc w:val="both"/>
      </w:pPr>
      <w:r>
        <w:t>To give information about the structure of theology and philosophy, which are two of the main actors of religious tho</w:t>
      </w:r>
      <w:r>
        <w:t xml:space="preserve">ught, and the relationship between the two disciplines and to </w:t>
      </w:r>
      <w:r>
        <w:rPr>
          <w:spacing w:val="-2"/>
        </w:rPr>
        <w:t xml:space="preserve">develop </w:t>
      </w:r>
      <w:r>
        <w:t>original perspectives on these thoughts.</w:t>
      </w:r>
    </w:p>
    <w:p w:rsidR="00F97019" w:rsidRDefault="00F97019" w:rsidP="00F97019">
      <w:pPr>
        <w:pStyle w:val="GvdeMetni"/>
      </w:pPr>
    </w:p>
    <w:p w:rsidR="00BB7FA2" w:rsidRDefault="00C81B45">
      <w:pPr>
        <w:pStyle w:val="GvdeMetni"/>
        <w:spacing w:before="0"/>
        <w:jc w:val="both"/>
      </w:pPr>
      <w:r>
        <w:t xml:space="preserve">Textbook, References: al-Ghazālī, Tehāfut al-Falāsifa, Istanbul, 2005. Orhan Şener Koloğlu, </w:t>
      </w:r>
      <w:r>
        <w:lastRenderedPageBreak/>
        <w:t>Mutazila'nin Felsefe Eleştirisi, Bursa 2011. Shahris</w:t>
      </w:r>
      <w:r>
        <w:t>tānī, Musarāt al-Falāsifa, London, 2001. Ibn al-Malāhimī, Tuhfat al-Mutakallimīn fi al-Redd ala al-Falāsifa, Tehran, 2008. Gürbüz Deniz, Kelâm-Felsefe Tartışmaları, Ankara, 2009. Ahmet Arslan, Kemal Paşazâde'nin Tehâfüt Haşiyesi'nin Tahlili'nin Tahlili, An</w:t>
      </w:r>
      <w:r>
        <w:t>kara, 1987. Abdürrahim Güzel, Karabağî ve Tehâfüt'ü, Ankara, 1991. Fatih Toktaş, İslam Düşüncesinde Felsefe Eleştirileri, İstanbul, 2004.</w:t>
      </w:r>
    </w:p>
    <w:p w:rsidR="00F97019" w:rsidRDefault="00F97019" w:rsidP="00F97019">
      <w:pPr>
        <w:pStyle w:val="GvdeMetni"/>
      </w:pPr>
    </w:p>
    <w:p w:rsidR="00F97019" w:rsidRDefault="00F97019" w:rsidP="00F97019">
      <w:pPr>
        <w:jc w:val="both"/>
        <w:sectPr w:rsidR="00F97019" w:rsidSect="00F97019">
          <w:pgSz w:w="11910" w:h="16840"/>
          <w:pgMar w:top="1160" w:right="1300" w:bottom="1560" w:left="1300" w:header="708" w:footer="708" w:gutter="0"/>
          <w:cols w:space="708"/>
        </w:sectPr>
      </w:pPr>
    </w:p>
    <w:p w:rsidR="00BB7FA2" w:rsidRDefault="00C81B45">
      <w:pPr>
        <w:pStyle w:val="GvdeMetni"/>
        <w:spacing w:before="77"/>
        <w:jc w:val="both"/>
      </w:pPr>
      <w:r>
        <w:lastRenderedPageBreak/>
        <w:t>Paşazâde'nin Tehâfüt Haşiyesi'nin Tahlili, Ankara, 1987. Abdürrahim Güzel, Karabağî ve Tehâfüt'ü, An</w:t>
      </w:r>
      <w:r>
        <w:t>kara, 1991. Fatih Toktaş, İslam Düşüncesinde Felsefe Eleştirileri</w:t>
      </w:r>
      <w:r>
        <w:rPr>
          <w:spacing w:val="-8"/>
        </w:rPr>
        <w:t xml:space="preserve">, </w:t>
      </w:r>
      <w:r>
        <w:t>İstanbul,</w:t>
      </w:r>
      <w:r>
        <w:rPr>
          <w:spacing w:val="-2"/>
        </w:rPr>
        <w:t xml:space="preserve"> 2004.</w:t>
      </w:r>
    </w:p>
    <w:p w:rsidR="00F97019" w:rsidRDefault="00F97019" w:rsidP="00F97019">
      <w:pPr>
        <w:pStyle w:val="GvdeMetni"/>
      </w:pPr>
    </w:p>
    <w:p w:rsidR="00F97019" w:rsidRDefault="00F97019" w:rsidP="00F97019">
      <w:pPr>
        <w:pStyle w:val="GvdeMetni"/>
      </w:pPr>
    </w:p>
    <w:p w:rsidR="00BB7FA2" w:rsidRDefault="00C81B45">
      <w:pPr>
        <w:pStyle w:val="Balk1"/>
      </w:pPr>
      <w:r>
        <w:t>TIB512 Basic Topics in Usūl al-Tafsir (Elective</w:t>
      </w:r>
      <w:r>
        <w:rPr>
          <w:spacing w:val="-1"/>
        </w:rPr>
        <w:t xml:space="preserve">) </w:t>
      </w:r>
      <w:r>
        <w:t xml:space="preserve">(3 0 </w:t>
      </w:r>
      <w:r>
        <w:rPr>
          <w:spacing w:val="-4"/>
        </w:rPr>
        <w:t>3-6)</w:t>
      </w:r>
    </w:p>
    <w:p w:rsidR="00F97019" w:rsidRDefault="00F97019" w:rsidP="00F97019">
      <w:pPr>
        <w:pStyle w:val="GvdeMetni"/>
        <w:rPr>
          <w:b/>
        </w:rPr>
      </w:pPr>
    </w:p>
    <w:p w:rsidR="00BB7FA2" w:rsidRDefault="00C81B45">
      <w:pPr>
        <w:pStyle w:val="GvdeMetni"/>
        <w:spacing w:before="0"/>
        <w:jc w:val="both"/>
      </w:pPr>
      <w:r>
        <w:t>Those who want to work on tafsir should know the issues in this field, discussions on these issues and differen</w:t>
      </w:r>
      <w:r>
        <w:t>t evaluations. In this course, it is aimed to introduce the subjects of tafsir methodology and to teach them in detail. For this purpose, the subjects known as Qur'anic Sciences or Tafsir Procedure, which constitute the substructure of tafsir, are introduc</w:t>
      </w:r>
      <w:r>
        <w:t>ed and learnt in general terms.</w:t>
      </w:r>
    </w:p>
    <w:p w:rsidR="00F97019" w:rsidRDefault="00F97019" w:rsidP="00F97019">
      <w:pPr>
        <w:pStyle w:val="GvdeMetni"/>
      </w:pPr>
    </w:p>
    <w:p w:rsidR="00BB7FA2" w:rsidRDefault="00C81B45">
      <w:pPr>
        <w:pStyle w:val="Balk1"/>
      </w:pPr>
      <w:r w:rsidRPr="00F97019">
        <w:t xml:space="preserve">TIB514 </w:t>
      </w:r>
      <w:r>
        <w:t xml:space="preserve">Ottoman Sufi Texts (Elective) (3 0 </w:t>
      </w:r>
      <w:r>
        <w:rPr>
          <w:spacing w:val="-4"/>
        </w:rPr>
        <w:t>3-6)</w:t>
      </w:r>
    </w:p>
    <w:p w:rsidR="00F97019" w:rsidRDefault="00F97019" w:rsidP="00F97019">
      <w:pPr>
        <w:pStyle w:val="GvdeMetni"/>
        <w:rPr>
          <w:b/>
        </w:rPr>
      </w:pPr>
    </w:p>
    <w:p w:rsidR="00BB7FA2" w:rsidRDefault="00C81B45">
      <w:pPr>
        <w:pStyle w:val="GvdeMetni"/>
        <w:spacing w:before="0"/>
        <w:jc w:val="both"/>
      </w:pPr>
      <w:r>
        <w:t xml:space="preserve">In order to keep the Ottoman language alive and to improve it, </w:t>
      </w:r>
      <w:r>
        <w:rPr>
          <w:spacing w:val="-2"/>
        </w:rPr>
        <w:t xml:space="preserve">Ottoman Ottoman Turkish </w:t>
      </w:r>
      <w:r>
        <w:t>written in the field of Sufism</w:t>
      </w:r>
    </w:p>
    <w:p w:rsidR="00BB7FA2" w:rsidRDefault="00C81B45">
      <w:pPr>
        <w:pStyle w:val="GvdeMetni"/>
        <w:spacing w:before="0"/>
        <w:jc w:val="both"/>
      </w:pPr>
      <w:r>
        <w:t xml:space="preserve">texts </w:t>
      </w:r>
      <w:r>
        <w:rPr>
          <w:spacing w:val="-2"/>
        </w:rPr>
        <w:t xml:space="preserve">will be </w:t>
      </w:r>
      <w:r>
        <w:t>discussed in terms of structure and subject</w:t>
      </w:r>
      <w:r>
        <w:rPr>
          <w:spacing w:val="-2"/>
        </w:rPr>
        <w:t>.</w:t>
      </w:r>
    </w:p>
    <w:p w:rsidR="00F97019" w:rsidRDefault="00F97019" w:rsidP="00F97019">
      <w:pPr>
        <w:pStyle w:val="GvdeMetni"/>
      </w:pPr>
    </w:p>
    <w:p w:rsidR="00BB7FA2" w:rsidRDefault="00C81B45">
      <w:pPr>
        <w:pStyle w:val="Balk1"/>
        <w:spacing w:before="77"/>
      </w:pPr>
      <w:r w:rsidRPr="00F97019">
        <w:t xml:space="preserve">TIB516 </w:t>
      </w:r>
      <w:r>
        <w:t xml:space="preserve">Levels of Being in Sufism (Elective) (3 0 </w:t>
      </w:r>
      <w:r>
        <w:rPr>
          <w:spacing w:val="-4"/>
        </w:rPr>
        <w:t>3-6)</w:t>
      </w:r>
    </w:p>
    <w:p w:rsidR="00F97019" w:rsidRDefault="00F97019" w:rsidP="00F97019">
      <w:pPr>
        <w:pStyle w:val="GvdeMetni"/>
        <w:rPr>
          <w:b/>
        </w:rPr>
      </w:pPr>
    </w:p>
    <w:p w:rsidR="00BB7FA2" w:rsidRDefault="00C81B45">
      <w:pPr>
        <w:pStyle w:val="GvdeMetni"/>
        <w:spacing w:before="0"/>
        <w:jc w:val="both"/>
      </w:pPr>
      <w:r>
        <w:t xml:space="preserve">In this course, </w:t>
      </w:r>
      <w:r>
        <w:rPr>
          <w:spacing w:val="-2"/>
        </w:rPr>
        <w:t xml:space="preserve">existence </w:t>
      </w:r>
      <w:r>
        <w:t>in Sufism under the main headings of vahdet-i kusud, vahdet-i suhud, vahdet-i wujud</w:t>
      </w:r>
    </w:p>
    <w:p w:rsidR="00BB7FA2" w:rsidRDefault="00C81B45">
      <w:pPr>
        <w:pStyle w:val="GvdeMetni"/>
        <w:spacing w:before="0"/>
        <w:jc w:val="both"/>
      </w:pPr>
      <w:r>
        <w:t xml:space="preserve">The concept of (wujud) and the issues </w:t>
      </w:r>
      <w:r>
        <w:rPr>
          <w:spacing w:val="-1"/>
        </w:rPr>
        <w:t>addressed</w:t>
      </w:r>
      <w:r>
        <w:t xml:space="preserve"> within the framework of this concept </w:t>
      </w:r>
      <w:r>
        <w:rPr>
          <w:spacing w:val="-2"/>
        </w:rPr>
        <w:t>are</w:t>
      </w:r>
      <w:r>
        <w:rPr>
          <w:spacing w:val="-2"/>
        </w:rPr>
        <w:t xml:space="preserve"> covered.</w:t>
      </w:r>
    </w:p>
    <w:p w:rsidR="00F97019" w:rsidRDefault="00F97019" w:rsidP="00CC753F">
      <w:pPr>
        <w:pStyle w:val="GvdeMetni"/>
        <w:spacing w:before="0"/>
        <w:jc w:val="both"/>
      </w:pPr>
    </w:p>
    <w:p w:rsidR="00BB7FA2" w:rsidRDefault="00C81B45">
      <w:pPr>
        <w:pStyle w:val="Balk1"/>
      </w:pPr>
      <w:r w:rsidRPr="00F97019">
        <w:t xml:space="preserve">TIB518 </w:t>
      </w:r>
      <w:r>
        <w:t>Ahkam Verses (Elective</w:t>
      </w:r>
      <w:r>
        <w:rPr>
          <w:spacing w:val="-1"/>
        </w:rPr>
        <w:t xml:space="preserve">) </w:t>
      </w:r>
      <w:r>
        <w:t xml:space="preserve">(3 0 </w:t>
      </w:r>
      <w:r>
        <w:rPr>
          <w:spacing w:val="-4"/>
        </w:rPr>
        <w:t>3-6)</w:t>
      </w:r>
    </w:p>
    <w:p w:rsidR="00F97019" w:rsidRDefault="00F97019" w:rsidP="00F97019">
      <w:pPr>
        <w:pStyle w:val="GvdeMetni"/>
        <w:rPr>
          <w:b/>
        </w:rPr>
      </w:pPr>
    </w:p>
    <w:p w:rsidR="00BB7FA2" w:rsidRDefault="00C81B45">
      <w:pPr>
        <w:pStyle w:val="GvdeMetni"/>
        <w:spacing w:before="0"/>
        <w:jc w:val="both"/>
      </w:pPr>
      <w:r>
        <w:t>The main source of Islamic Law is the Holy Qur'an. For this reason, it is only possible to know the basis of jurisprudential rulings by analysing the verses in terms of language and meaning. Students nee</w:t>
      </w:r>
      <w:r>
        <w:t>d to gain this understanding. For this purpose, after the students are given the necessary information about the ahkam verses, it will be ensured that they understand and comprehend the provisions regarding worship and social life correctly.</w:t>
      </w:r>
    </w:p>
    <w:p w:rsidR="00CC753F" w:rsidRDefault="00CC753F" w:rsidP="00F97019">
      <w:pPr>
        <w:pStyle w:val="Balk1"/>
      </w:pPr>
    </w:p>
    <w:p w:rsidR="00BB7FA2" w:rsidRDefault="00C81B45">
      <w:pPr>
        <w:pStyle w:val="Balk1"/>
      </w:pPr>
      <w:r w:rsidRPr="00F97019">
        <w:t xml:space="preserve">TIB520 </w:t>
      </w:r>
      <w:r>
        <w:t xml:space="preserve">Basic </w:t>
      </w:r>
      <w:r>
        <w:t>Sources and Ways of Utilisation in Hadith (Elective</w:t>
      </w:r>
      <w:r>
        <w:rPr>
          <w:spacing w:val="-1"/>
        </w:rPr>
        <w:t xml:space="preserve">) </w:t>
      </w:r>
      <w:r>
        <w:t xml:space="preserve">(3 0 </w:t>
      </w:r>
      <w:r>
        <w:rPr>
          <w:spacing w:val="-4"/>
        </w:rPr>
        <w:t>3-6)</w:t>
      </w:r>
    </w:p>
    <w:p w:rsidR="00BB7FA2" w:rsidRDefault="00C81B45">
      <w:pPr>
        <w:pStyle w:val="GvdeMetni"/>
        <w:spacing w:before="0"/>
        <w:jc w:val="both"/>
      </w:pPr>
      <w:r>
        <w:t>In this course, it is ensured that the basic sources of hadith science are recognised and used in detail in accordance with the purpose and method of writing. Information is given about the had</w:t>
      </w:r>
      <w:r>
        <w:t>ith literature from the beginning of the science of hadith to the works after the classification period.</w:t>
      </w:r>
    </w:p>
    <w:p w:rsidR="00F97019" w:rsidRPr="00F97019" w:rsidRDefault="00F97019" w:rsidP="001D7FAB">
      <w:pPr>
        <w:pStyle w:val="GvdeMetni"/>
        <w:spacing w:before="0"/>
        <w:jc w:val="both"/>
      </w:pPr>
    </w:p>
    <w:p w:rsidR="00BB7FA2" w:rsidRDefault="00C81B45">
      <w:pPr>
        <w:pStyle w:val="Balk1"/>
      </w:pPr>
      <w:r w:rsidRPr="00F97019">
        <w:t>TIB522 Classical Fiqh Texts (Elective</w:t>
      </w:r>
      <w:r w:rsidRPr="00F97019">
        <w:rPr>
          <w:spacing w:val="-2"/>
        </w:rPr>
        <w:t xml:space="preserve">) </w:t>
      </w:r>
      <w:r w:rsidRPr="00F97019">
        <w:t xml:space="preserve">(3 0 </w:t>
      </w:r>
      <w:r w:rsidRPr="00F97019">
        <w:rPr>
          <w:spacing w:val="-4"/>
        </w:rPr>
        <w:t>3-6)</w:t>
      </w:r>
    </w:p>
    <w:p w:rsidR="00F97019" w:rsidRPr="00F97019" w:rsidRDefault="00F97019" w:rsidP="00F97019">
      <w:pPr>
        <w:pStyle w:val="GvdeMetni"/>
        <w:rPr>
          <w:b/>
        </w:rPr>
      </w:pPr>
    </w:p>
    <w:p w:rsidR="00BB7FA2" w:rsidRDefault="00C81B45">
      <w:pPr>
        <w:pStyle w:val="GvdeMetni"/>
        <w:spacing w:before="0"/>
        <w:jc w:val="both"/>
      </w:pPr>
      <w:r w:rsidRPr="00F97019">
        <w:t xml:space="preserve">The course </w:t>
      </w:r>
      <w:r w:rsidRPr="00F97019">
        <w:rPr>
          <w:spacing w:val="50"/>
        </w:rPr>
        <w:t xml:space="preserve">aims </w:t>
      </w:r>
      <w:r w:rsidRPr="00F97019">
        <w:t xml:space="preserve">to introduce classical fiqh texts to the students. In this context, </w:t>
      </w:r>
      <w:r w:rsidRPr="00F97019">
        <w:rPr>
          <w:spacing w:val="-2"/>
        </w:rPr>
        <w:t>different</w:t>
      </w:r>
    </w:p>
    <w:p w:rsidR="00BB7FA2" w:rsidRDefault="00C81B45">
      <w:pPr>
        <w:pStyle w:val="GvdeMetni"/>
        <w:spacing w:before="0"/>
        <w:jc w:val="both"/>
        <w:rPr>
          <w:spacing w:val="-2"/>
        </w:rPr>
      </w:pPr>
      <w:r w:rsidRPr="00F97019">
        <w:t xml:space="preserve">Classical texts from literature genres will be introduced and </w:t>
      </w:r>
      <w:r w:rsidRPr="00F97019">
        <w:rPr>
          <w:spacing w:val="-2"/>
        </w:rPr>
        <w:t>read.</w:t>
      </w:r>
    </w:p>
    <w:p w:rsidR="00CC753F" w:rsidRPr="00F97019" w:rsidRDefault="00CC753F" w:rsidP="00CC753F">
      <w:pPr>
        <w:pStyle w:val="GvdeMetni"/>
        <w:spacing w:before="0"/>
        <w:jc w:val="both"/>
      </w:pPr>
    </w:p>
    <w:p w:rsidR="00BB7FA2" w:rsidRDefault="00C81B45">
      <w:pPr>
        <w:pStyle w:val="Balk1"/>
      </w:pPr>
      <w:r w:rsidRPr="00F97019">
        <w:t xml:space="preserve">TIB524 Islamic Law of Obligations (Elective) </w:t>
      </w:r>
      <w:r w:rsidRPr="00F97019">
        <w:rPr>
          <w:spacing w:val="-1"/>
        </w:rPr>
        <w:t xml:space="preserve">(3 </w:t>
      </w:r>
      <w:r w:rsidRPr="00F97019">
        <w:t xml:space="preserve">0 </w:t>
      </w:r>
      <w:r w:rsidRPr="00F97019">
        <w:rPr>
          <w:spacing w:val="-4"/>
        </w:rPr>
        <w:t>3-6)</w:t>
      </w:r>
    </w:p>
    <w:p w:rsidR="00BB7FA2" w:rsidRDefault="00C81B45">
      <w:pPr>
        <w:pStyle w:val="GvdeMetni"/>
        <w:spacing w:before="77"/>
        <w:jc w:val="both"/>
      </w:pPr>
      <w:r w:rsidRPr="00F97019">
        <w:t>The aim of the course is to explain the doctrinal structure of the Islamic law of obligations, which deals with the economic relations of people in terms of law, and to comprehend what are the legal responsibilities arising from the relationship of propert</w:t>
      </w:r>
      <w:r w:rsidRPr="00F97019">
        <w:t xml:space="preserve">y and debt. For this reason, the </w:t>
      </w:r>
      <w:r w:rsidRPr="00F97019">
        <w:lastRenderedPageBreak/>
        <w:t>importance of the law of obligations, codification, sources of debt, debts arising from unilateral will, judgement of debt and termination of debt, etc. issues will be discussed.</w:t>
      </w:r>
    </w:p>
    <w:sectPr w:rsidR="00BB7FA2" w:rsidSect="00F97019">
      <w:pgSz w:w="11910" w:h="16840"/>
      <w:pgMar w:top="1560" w:right="1300" w:bottom="1702"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C08A9"/>
    <w:multiLevelType w:val="hybridMultilevel"/>
    <w:tmpl w:val="8A320AF2"/>
    <w:lvl w:ilvl="0" w:tplc="F8604456">
      <w:start w:val="1"/>
      <w:numFmt w:val="decimal"/>
      <w:lvlText w:val="%1."/>
      <w:lvlJc w:val="left"/>
      <w:pPr>
        <w:ind w:left="66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F3EAE61A">
      <w:numFmt w:val="bullet"/>
      <w:lvlText w:val="•"/>
      <w:lvlJc w:val="left"/>
      <w:pPr>
        <w:ind w:left="1254" w:hanging="240"/>
      </w:pPr>
      <w:rPr>
        <w:rFonts w:hint="default"/>
        <w:lang w:val="tr-TR" w:eastAsia="en-US" w:bidi="ar-SA"/>
      </w:rPr>
    </w:lvl>
    <w:lvl w:ilvl="2" w:tplc="1486D766">
      <w:numFmt w:val="bullet"/>
      <w:lvlText w:val="•"/>
      <w:lvlJc w:val="left"/>
      <w:pPr>
        <w:ind w:left="2149" w:hanging="240"/>
      </w:pPr>
      <w:rPr>
        <w:rFonts w:hint="default"/>
        <w:lang w:val="tr-TR" w:eastAsia="en-US" w:bidi="ar-SA"/>
      </w:rPr>
    </w:lvl>
    <w:lvl w:ilvl="3" w:tplc="07862480">
      <w:numFmt w:val="bullet"/>
      <w:lvlText w:val="•"/>
      <w:lvlJc w:val="left"/>
      <w:pPr>
        <w:ind w:left="3043" w:hanging="240"/>
      </w:pPr>
      <w:rPr>
        <w:rFonts w:hint="default"/>
        <w:lang w:val="tr-TR" w:eastAsia="en-US" w:bidi="ar-SA"/>
      </w:rPr>
    </w:lvl>
    <w:lvl w:ilvl="4" w:tplc="8C7AD052">
      <w:numFmt w:val="bullet"/>
      <w:lvlText w:val="•"/>
      <w:lvlJc w:val="left"/>
      <w:pPr>
        <w:ind w:left="3938" w:hanging="240"/>
      </w:pPr>
      <w:rPr>
        <w:rFonts w:hint="default"/>
        <w:lang w:val="tr-TR" w:eastAsia="en-US" w:bidi="ar-SA"/>
      </w:rPr>
    </w:lvl>
    <w:lvl w:ilvl="5" w:tplc="6862F0F6">
      <w:numFmt w:val="bullet"/>
      <w:lvlText w:val="•"/>
      <w:lvlJc w:val="left"/>
      <w:pPr>
        <w:ind w:left="4833" w:hanging="240"/>
      </w:pPr>
      <w:rPr>
        <w:rFonts w:hint="default"/>
        <w:lang w:val="tr-TR" w:eastAsia="en-US" w:bidi="ar-SA"/>
      </w:rPr>
    </w:lvl>
    <w:lvl w:ilvl="6" w:tplc="C030AAFC">
      <w:numFmt w:val="bullet"/>
      <w:lvlText w:val="•"/>
      <w:lvlJc w:val="left"/>
      <w:pPr>
        <w:ind w:left="5727" w:hanging="240"/>
      </w:pPr>
      <w:rPr>
        <w:rFonts w:hint="default"/>
        <w:lang w:val="tr-TR" w:eastAsia="en-US" w:bidi="ar-SA"/>
      </w:rPr>
    </w:lvl>
    <w:lvl w:ilvl="7" w:tplc="2E20EAD8">
      <w:numFmt w:val="bullet"/>
      <w:lvlText w:val="•"/>
      <w:lvlJc w:val="left"/>
      <w:pPr>
        <w:ind w:left="6622" w:hanging="240"/>
      </w:pPr>
      <w:rPr>
        <w:rFonts w:hint="default"/>
        <w:lang w:val="tr-TR" w:eastAsia="en-US" w:bidi="ar-SA"/>
      </w:rPr>
    </w:lvl>
    <w:lvl w:ilvl="8" w:tplc="0FAA6BD8">
      <w:numFmt w:val="bullet"/>
      <w:lvlText w:val="•"/>
      <w:lvlJc w:val="left"/>
      <w:pPr>
        <w:ind w:left="7516" w:hanging="24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C4FC1"/>
    <w:rsid w:val="001645C6"/>
    <w:rsid w:val="001D7FAB"/>
    <w:rsid w:val="00264D29"/>
    <w:rsid w:val="002C4FC1"/>
    <w:rsid w:val="003A669E"/>
    <w:rsid w:val="0073519C"/>
    <w:rsid w:val="007A3A79"/>
    <w:rsid w:val="00835350"/>
    <w:rsid w:val="00856782"/>
    <w:rsid w:val="00A60006"/>
    <w:rsid w:val="00BB7FA2"/>
    <w:rsid w:val="00C81B45"/>
    <w:rsid w:val="00CC753F"/>
    <w:rsid w:val="00F970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A2"/>
    <w:rPr>
      <w:rFonts w:ascii="Times New Roman" w:eastAsia="Times New Roman" w:hAnsi="Times New Roman" w:cs="Times New Roman"/>
      <w:lang w:val="tr-TR"/>
    </w:rPr>
  </w:style>
  <w:style w:type="paragraph" w:styleId="Balk1">
    <w:name w:val="heading 1"/>
    <w:basedOn w:val="Normal"/>
    <w:link w:val="Balk1Char"/>
    <w:uiPriority w:val="9"/>
    <w:qFormat/>
    <w:rsid w:val="00BB7FA2"/>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B7FA2"/>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B7FA2"/>
    <w:pPr>
      <w:spacing w:before="4"/>
    </w:pPr>
    <w:rPr>
      <w:sz w:val="24"/>
      <w:szCs w:val="24"/>
    </w:rPr>
  </w:style>
  <w:style w:type="paragraph" w:styleId="ListeParagraf">
    <w:name w:val="List Paragraph"/>
    <w:basedOn w:val="Normal"/>
    <w:uiPriority w:val="1"/>
    <w:qFormat/>
    <w:rsid w:val="00BB7FA2"/>
    <w:pPr>
      <w:ind w:left="476" w:hanging="360"/>
    </w:pPr>
  </w:style>
  <w:style w:type="paragraph" w:customStyle="1" w:styleId="TableParagraph">
    <w:name w:val="Table Paragraph"/>
    <w:basedOn w:val="Normal"/>
    <w:uiPriority w:val="1"/>
    <w:qFormat/>
    <w:rsid w:val="00BB7FA2"/>
  </w:style>
  <w:style w:type="character" w:customStyle="1" w:styleId="Balk1Char">
    <w:name w:val="Başlık 1 Char"/>
    <w:basedOn w:val="VarsaylanParagrafYazTipi"/>
    <w:link w:val="Balk1"/>
    <w:uiPriority w:val="9"/>
    <w:rsid w:val="001D7FAB"/>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1D7FAB"/>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9379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keywords>, docId:619F7D758812D71D55015AD9DC5BC31C</cp:keywords>
  <cp:lastModifiedBy>Bilgisayar_</cp:lastModifiedBy>
  <cp:revision>2</cp:revision>
  <dcterms:created xsi:type="dcterms:W3CDTF">2024-06-06T12:27:00Z</dcterms:created>
  <dcterms:modified xsi:type="dcterms:W3CDTF">2024-06-06T12:27:00Z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Office Word</vt:lpwstr>
  </property>
  <property fmtid="{D5CDD505-2E9C-101B-9397-08002B2CF9AE}" pid="4" name="LastSaved">
    <vt:filetime>2024-06-06T00:00:00Z</vt:filetime>
  </property>
  <property fmtid="{D5CDD505-2E9C-101B-9397-08002B2CF9AE}" pid="5" name="Producer">
    <vt:lpwstr>Aspose.Words for .NET 21.9.0</vt:lpwstr>
  </property>
</Properties>
</file>